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28EFB4E"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197CE4">
        <w:rPr>
          <w:rFonts w:ascii="Calibri" w:hAnsi="Calibri"/>
        </w:rPr>
        <w:t>ENG7-11.1.35</w:t>
      </w:r>
    </w:p>
    <w:p w14:paraId="5A14DE03" w14:textId="7C522FE8" w:rsidR="00BF32F0" w:rsidRPr="00011CD2" w:rsidRDefault="00DB3B8C" w:rsidP="000A5A0A">
      <w:pPr>
        <w:pStyle w:val="Heading1"/>
      </w:pPr>
      <w:r w:rsidRPr="000A5A0A">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A5A0A">
      <w:pPr>
        <w:pStyle w:val="Heading1"/>
      </w:pPr>
      <w:r w:rsidRPr="00011CD2">
        <w:t>Proposed amendment of the Dictionary</w:t>
      </w:r>
    </w:p>
    <w:p w14:paraId="767B7E2A" w14:textId="7AA41A26" w:rsidR="005A594B"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4B53C495" w14:textId="67A96F3A" w:rsidR="00015D90" w:rsidRDefault="00015D90" w:rsidP="000A5A0A">
      <w:pPr>
        <w:pStyle w:val="Heading1"/>
      </w:pPr>
      <w:r>
        <w:t>Note to DWG</w:t>
      </w:r>
    </w:p>
    <w:p w14:paraId="60BCC120" w14:textId="56B49510" w:rsidR="0080294B" w:rsidRPr="00011CD2" w:rsidRDefault="00370553" w:rsidP="00FE5674">
      <w:pPr>
        <w:pStyle w:val="BodyText"/>
        <w:tabs>
          <w:tab w:val="left" w:pos="2835"/>
        </w:tabs>
        <w:rPr>
          <w:rFonts w:ascii="Calibri" w:hAnsi="Calibri"/>
        </w:rPr>
      </w:pPr>
      <w:r>
        <w:rPr>
          <w:rFonts w:ascii="Calibri" w:hAnsi="Calibri"/>
        </w:rPr>
        <w:t>The following terms have arisen while drafting Guideline 1073 on ‘</w:t>
      </w:r>
      <w:r w:rsidRPr="00370553">
        <w:rPr>
          <w:rFonts w:ascii="Calibri" w:hAnsi="Calibri"/>
        </w:rPr>
        <w:t>CONSPICUITY OF AtoN LIGHTS AT NIGHT</w:t>
      </w:r>
      <w:r>
        <w:rPr>
          <w:rFonts w:ascii="Calibri" w:hAnsi="Calibri"/>
        </w:rPr>
        <w:t>’.</w:t>
      </w:r>
    </w:p>
    <w:tbl>
      <w:tblPr>
        <w:tblStyle w:val="TableGrid"/>
        <w:tblW w:w="15026"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1077"/>
        <w:gridCol w:w="1072"/>
        <w:gridCol w:w="1072"/>
      </w:tblGrid>
      <w:tr w:rsidR="00015D90" w:rsidRPr="00015D90" w14:paraId="2517A837" w14:textId="2FDA599A" w:rsidTr="00015D90">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077"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5D90" w:rsidRDefault="009A5A6C" w:rsidP="009A5A6C">
            <w:pPr>
              <w:pStyle w:val="BodyText"/>
              <w:jc w:val="center"/>
              <w:rPr>
                <w:rFonts w:ascii="Calibri" w:hAnsi="Calibri"/>
                <w:b/>
                <w:color w:val="000000" w:themeColor="text1"/>
                <w:sz w:val="24"/>
                <w:szCs w:val="24"/>
              </w:rPr>
            </w:pPr>
            <w:r w:rsidRPr="00015D90">
              <w:rPr>
                <w:rFonts w:ascii="Calibri" w:hAnsi="Calibri"/>
                <w:b/>
                <w:color w:val="000000" w:themeColor="text1"/>
                <w:sz w:val="24"/>
                <w:szCs w:val="24"/>
              </w:rPr>
              <w:t>Accept/</w:t>
            </w:r>
          </w:p>
          <w:p w14:paraId="66AC415C" w14:textId="3CD8D178" w:rsidR="009A5A6C" w:rsidRPr="00015D90" w:rsidRDefault="009A5A6C" w:rsidP="009A5A6C">
            <w:pPr>
              <w:pStyle w:val="BodyText"/>
              <w:jc w:val="center"/>
              <w:rPr>
                <w:rFonts w:ascii="Calibri" w:hAnsi="Calibri"/>
                <w:b/>
                <w:color w:val="000000" w:themeColor="text1"/>
                <w:sz w:val="20"/>
                <w:szCs w:val="20"/>
              </w:rPr>
            </w:pPr>
            <w:r w:rsidRPr="00015D90">
              <w:rPr>
                <w:rFonts w:ascii="Calibri" w:hAnsi="Calibri"/>
                <w:b/>
                <w:color w:val="000000" w:themeColor="text1"/>
                <w:sz w:val="24"/>
                <w:szCs w:val="24"/>
              </w:rPr>
              <w:t>Reject</w:t>
            </w:r>
            <w:r w:rsidR="00015D90" w:rsidRPr="00015D90">
              <w:rPr>
                <w:rFonts w:ascii="Calibri" w:hAnsi="Calibri"/>
                <w:b/>
                <w:color w:val="000000" w:themeColor="text1"/>
                <w:sz w:val="24"/>
                <w:szCs w:val="24"/>
              </w:rPr>
              <w:t xml:space="preserve"> (for DWG)</w:t>
            </w:r>
          </w:p>
        </w:tc>
      </w:tr>
      <w:tr w:rsidR="00370553" w:rsidRPr="00011CD2" w14:paraId="31529609" w14:textId="567541A5" w:rsidTr="00015D90">
        <w:tc>
          <w:tcPr>
            <w:tcW w:w="1587" w:type="dxa"/>
            <w:vAlign w:val="center"/>
          </w:tcPr>
          <w:p w14:paraId="265A121B" w14:textId="47F64C27" w:rsidR="00370553" w:rsidRPr="00370553" w:rsidRDefault="00370553" w:rsidP="005E70B0">
            <w:pPr>
              <w:pStyle w:val="BodyText"/>
              <w:jc w:val="left"/>
            </w:pPr>
            <w:r w:rsidRPr="00944CE8">
              <w:t>Detection of an AtoN light</w:t>
            </w:r>
          </w:p>
        </w:tc>
        <w:tc>
          <w:tcPr>
            <w:tcW w:w="1062" w:type="dxa"/>
            <w:vAlign w:val="center"/>
          </w:tcPr>
          <w:p w14:paraId="68754AA2" w14:textId="053CFAE8" w:rsidR="00370553" w:rsidRPr="00011CD2" w:rsidRDefault="00370553" w:rsidP="005E70B0">
            <w:pPr>
              <w:pStyle w:val="BodyText"/>
              <w:jc w:val="left"/>
              <w:rPr>
                <w:rFonts w:asciiTheme="minorHAnsi" w:hAnsiTheme="minorHAnsi"/>
                <w:sz w:val="20"/>
                <w:szCs w:val="20"/>
              </w:rPr>
            </w:pPr>
          </w:p>
        </w:tc>
        <w:tc>
          <w:tcPr>
            <w:tcW w:w="992" w:type="dxa"/>
            <w:vAlign w:val="center"/>
          </w:tcPr>
          <w:p w14:paraId="18C77F37" w14:textId="3D56F7D4" w:rsidR="00370553" w:rsidRPr="00370553" w:rsidRDefault="00370553" w:rsidP="00370553">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76BD04DC" w14:textId="41FB26E7" w:rsidR="00370553" w:rsidRPr="00011CD2" w:rsidRDefault="00370553" w:rsidP="00370553">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4C706E39" w14:textId="4BCDB328" w:rsidR="00370553" w:rsidRPr="00011CD2" w:rsidRDefault="00370553" w:rsidP="00370553">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645CB689" w14:textId="0F724890" w:rsidR="00370553" w:rsidRPr="00011CD2" w:rsidRDefault="00370553" w:rsidP="005E70B0">
            <w:pPr>
              <w:pStyle w:val="BodyText"/>
              <w:jc w:val="left"/>
              <w:rPr>
                <w:rFonts w:asciiTheme="minorHAnsi" w:hAnsiTheme="minorHAnsi"/>
                <w:sz w:val="20"/>
                <w:szCs w:val="20"/>
              </w:rPr>
            </w:pPr>
            <w:r w:rsidRPr="00944CE8">
              <w:t>The observer is aware of a light</w:t>
            </w:r>
          </w:p>
        </w:tc>
        <w:tc>
          <w:tcPr>
            <w:tcW w:w="1077" w:type="dxa"/>
            <w:vAlign w:val="center"/>
          </w:tcPr>
          <w:p w14:paraId="358386CF" w14:textId="48E5BC48"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3AA0CB0A" w14:textId="78EEF24D"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6B643B58" w14:textId="77777777" w:rsidR="00370553" w:rsidRPr="00011CD2" w:rsidRDefault="00370553" w:rsidP="005E70B0">
            <w:pPr>
              <w:pStyle w:val="BodyText"/>
              <w:jc w:val="left"/>
              <w:rPr>
                <w:rFonts w:asciiTheme="minorHAnsi" w:hAnsiTheme="minorHAnsi"/>
                <w:sz w:val="20"/>
                <w:szCs w:val="20"/>
              </w:rPr>
            </w:pPr>
          </w:p>
        </w:tc>
      </w:tr>
      <w:tr w:rsidR="00370553" w:rsidRPr="00011CD2" w14:paraId="503FA25A" w14:textId="7F458817" w:rsidTr="00015D90">
        <w:tc>
          <w:tcPr>
            <w:tcW w:w="1587" w:type="dxa"/>
            <w:vAlign w:val="center"/>
          </w:tcPr>
          <w:p w14:paraId="485293D0" w14:textId="75744531" w:rsidR="00370553" w:rsidRPr="00011CD2" w:rsidRDefault="00370553" w:rsidP="005E70B0">
            <w:pPr>
              <w:pStyle w:val="BodyText"/>
              <w:jc w:val="left"/>
              <w:rPr>
                <w:rFonts w:asciiTheme="minorHAnsi" w:hAnsiTheme="minorHAnsi"/>
                <w:sz w:val="20"/>
                <w:szCs w:val="20"/>
              </w:rPr>
            </w:pPr>
            <w:r w:rsidRPr="00944CE8">
              <w:t>Recognition of an AtoN light</w:t>
            </w:r>
          </w:p>
        </w:tc>
        <w:tc>
          <w:tcPr>
            <w:tcW w:w="1062" w:type="dxa"/>
            <w:vAlign w:val="center"/>
          </w:tcPr>
          <w:p w14:paraId="22FD636A" w14:textId="17BDF985" w:rsidR="00370553" w:rsidRPr="00011CD2" w:rsidRDefault="00370553" w:rsidP="005E70B0">
            <w:pPr>
              <w:pStyle w:val="BodyText"/>
              <w:jc w:val="left"/>
              <w:rPr>
                <w:rFonts w:asciiTheme="minorHAnsi" w:hAnsiTheme="minorHAnsi"/>
                <w:sz w:val="20"/>
                <w:szCs w:val="20"/>
              </w:rPr>
            </w:pPr>
          </w:p>
        </w:tc>
        <w:tc>
          <w:tcPr>
            <w:tcW w:w="992" w:type="dxa"/>
            <w:vAlign w:val="center"/>
          </w:tcPr>
          <w:p w14:paraId="6B3F5354" w14:textId="77777777" w:rsidR="00370553" w:rsidRPr="00370553" w:rsidRDefault="00370553" w:rsidP="00370553">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6DDB8C9B" w14:textId="776CA510" w:rsidR="00370553" w:rsidRPr="00011CD2" w:rsidRDefault="00370553" w:rsidP="00370553">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1AAE11DE" w14:textId="23D2BC1F" w:rsidR="00370553" w:rsidRPr="00011CD2" w:rsidRDefault="00370553" w:rsidP="00370553">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7499AC6B" w14:textId="6E1A3343" w:rsidR="00370553" w:rsidRPr="00011CD2" w:rsidRDefault="00370553" w:rsidP="005E70B0">
            <w:pPr>
              <w:pStyle w:val="BodyText"/>
              <w:jc w:val="left"/>
              <w:rPr>
                <w:rFonts w:asciiTheme="minorHAnsi" w:hAnsiTheme="minorHAnsi"/>
                <w:sz w:val="20"/>
                <w:szCs w:val="20"/>
              </w:rPr>
            </w:pPr>
            <w:r w:rsidRPr="00944CE8">
              <w:t>The observer is aware that the light is an AtoN light</w:t>
            </w:r>
          </w:p>
        </w:tc>
        <w:tc>
          <w:tcPr>
            <w:tcW w:w="1077" w:type="dxa"/>
            <w:vAlign w:val="center"/>
          </w:tcPr>
          <w:p w14:paraId="74D52B60" w14:textId="7F353BD7"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4122E8BA" w14:textId="54C6ED9E"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2982D491" w14:textId="77777777" w:rsidR="00370553" w:rsidRPr="00011CD2" w:rsidRDefault="00370553" w:rsidP="005E70B0">
            <w:pPr>
              <w:pStyle w:val="BodyText"/>
              <w:jc w:val="left"/>
              <w:rPr>
                <w:rFonts w:asciiTheme="minorHAnsi" w:hAnsiTheme="minorHAnsi"/>
                <w:sz w:val="20"/>
                <w:szCs w:val="20"/>
              </w:rPr>
            </w:pPr>
          </w:p>
        </w:tc>
      </w:tr>
      <w:tr w:rsidR="00370553" w:rsidRPr="00011CD2" w14:paraId="44A0C31C" w14:textId="1B217C0B" w:rsidTr="00015D90">
        <w:tc>
          <w:tcPr>
            <w:tcW w:w="1587" w:type="dxa"/>
            <w:vAlign w:val="center"/>
          </w:tcPr>
          <w:p w14:paraId="34443182" w14:textId="7CF3689D" w:rsidR="00370553" w:rsidRPr="00011CD2" w:rsidRDefault="00370553" w:rsidP="005E70B0">
            <w:pPr>
              <w:pStyle w:val="BodyText"/>
              <w:jc w:val="left"/>
              <w:rPr>
                <w:rFonts w:asciiTheme="minorHAnsi" w:hAnsiTheme="minorHAnsi"/>
                <w:sz w:val="20"/>
                <w:szCs w:val="20"/>
              </w:rPr>
            </w:pPr>
            <w:r w:rsidRPr="00944CE8">
              <w:t>Identification of an AtoN light</w:t>
            </w:r>
          </w:p>
        </w:tc>
        <w:tc>
          <w:tcPr>
            <w:tcW w:w="1062" w:type="dxa"/>
            <w:vAlign w:val="center"/>
          </w:tcPr>
          <w:p w14:paraId="372C27C3" w14:textId="67376A40" w:rsidR="00370553" w:rsidRPr="00011CD2" w:rsidRDefault="00370553" w:rsidP="005E70B0">
            <w:pPr>
              <w:pStyle w:val="BodyText"/>
              <w:jc w:val="left"/>
              <w:rPr>
                <w:rFonts w:asciiTheme="minorHAnsi" w:hAnsiTheme="minorHAnsi"/>
                <w:sz w:val="20"/>
                <w:szCs w:val="20"/>
              </w:rPr>
            </w:pPr>
          </w:p>
        </w:tc>
        <w:tc>
          <w:tcPr>
            <w:tcW w:w="992" w:type="dxa"/>
            <w:vAlign w:val="center"/>
          </w:tcPr>
          <w:p w14:paraId="1BA085ED" w14:textId="77777777" w:rsidR="00370553" w:rsidRPr="00370553" w:rsidRDefault="00370553" w:rsidP="00370553">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33FE2E05" w14:textId="783E9648" w:rsidR="00370553" w:rsidRPr="00011CD2" w:rsidRDefault="00370553" w:rsidP="00370553">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393848EA" w14:textId="7CED9A6E" w:rsidR="00370553" w:rsidRPr="00011CD2" w:rsidRDefault="00370553" w:rsidP="00370553">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162637CA" w14:textId="53F41182" w:rsidR="00370553" w:rsidRPr="00011CD2" w:rsidRDefault="00370553" w:rsidP="005E70B0">
            <w:pPr>
              <w:pStyle w:val="BodyText"/>
              <w:jc w:val="left"/>
              <w:rPr>
                <w:rFonts w:asciiTheme="minorHAnsi" w:hAnsiTheme="minorHAnsi"/>
                <w:sz w:val="20"/>
                <w:szCs w:val="20"/>
              </w:rPr>
            </w:pPr>
            <w:r w:rsidRPr="00944CE8">
              <w:t>The observer is aware of the exact AtoN to which the light belongs</w:t>
            </w:r>
          </w:p>
        </w:tc>
        <w:tc>
          <w:tcPr>
            <w:tcW w:w="1077" w:type="dxa"/>
            <w:vAlign w:val="center"/>
          </w:tcPr>
          <w:p w14:paraId="4770E59F" w14:textId="564B7AA0"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06F6C058" w14:textId="3E5590E4" w:rsidR="00370553" w:rsidRPr="00011CD2" w:rsidRDefault="00370553" w:rsidP="005E70B0">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6EA082C4" w14:textId="77777777" w:rsidR="00370553" w:rsidRPr="00011CD2" w:rsidRDefault="00370553" w:rsidP="005E70B0">
            <w:pPr>
              <w:pStyle w:val="BodyText"/>
              <w:jc w:val="left"/>
              <w:rPr>
                <w:rFonts w:asciiTheme="minorHAnsi" w:hAnsiTheme="minorHAnsi"/>
                <w:sz w:val="20"/>
                <w:szCs w:val="20"/>
              </w:rPr>
            </w:pPr>
          </w:p>
        </w:tc>
      </w:tr>
      <w:tr w:rsidR="00832EDC" w:rsidRPr="00011CD2" w14:paraId="5DF91BEE" w14:textId="77777777" w:rsidTr="00015D90">
        <w:tc>
          <w:tcPr>
            <w:tcW w:w="1587" w:type="dxa"/>
            <w:vAlign w:val="center"/>
          </w:tcPr>
          <w:p w14:paraId="1A5FCD41" w14:textId="78FE15C4" w:rsidR="00832EDC" w:rsidRPr="00944CE8" w:rsidRDefault="00832EDC" w:rsidP="00832EDC">
            <w:pPr>
              <w:pStyle w:val="BodyText"/>
              <w:jc w:val="left"/>
            </w:pPr>
            <w:bookmarkStart w:id="0" w:name="_GoBack" w:colFirst="5" w:colLast="6"/>
            <w:r>
              <w:t>Confirmation of an AtoN light</w:t>
            </w:r>
          </w:p>
        </w:tc>
        <w:tc>
          <w:tcPr>
            <w:tcW w:w="1062" w:type="dxa"/>
            <w:vAlign w:val="center"/>
          </w:tcPr>
          <w:p w14:paraId="6851F2A1" w14:textId="77777777" w:rsidR="00832EDC" w:rsidRPr="00011CD2" w:rsidRDefault="00832EDC" w:rsidP="00832EDC">
            <w:pPr>
              <w:pStyle w:val="BodyText"/>
              <w:jc w:val="left"/>
              <w:rPr>
                <w:rFonts w:asciiTheme="minorHAnsi" w:hAnsiTheme="minorHAnsi"/>
                <w:sz w:val="20"/>
                <w:szCs w:val="20"/>
              </w:rPr>
            </w:pPr>
          </w:p>
        </w:tc>
        <w:tc>
          <w:tcPr>
            <w:tcW w:w="992" w:type="dxa"/>
            <w:vAlign w:val="center"/>
          </w:tcPr>
          <w:p w14:paraId="2BD582B0" w14:textId="77777777" w:rsidR="00832EDC" w:rsidRPr="00370553" w:rsidRDefault="00832EDC" w:rsidP="00832EDC">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2AD5F749" w14:textId="390376A0" w:rsidR="00832EDC" w:rsidRDefault="00832EDC" w:rsidP="00832EDC">
            <w:pPr>
              <w:pStyle w:val="BodyText"/>
              <w:rPr>
                <w:rFonts w:asciiTheme="minorHAnsi" w:hAnsiTheme="minorHAnsi"/>
                <w:sz w:val="20"/>
                <w:szCs w:val="20"/>
              </w:rPr>
            </w:pPr>
            <w:r>
              <w:rPr>
                <w:rFonts w:asciiTheme="minorHAnsi" w:hAnsiTheme="minorHAnsi"/>
                <w:sz w:val="20"/>
                <w:szCs w:val="20"/>
              </w:rPr>
              <w:t>ENG7</w:t>
            </w:r>
          </w:p>
        </w:tc>
        <w:tc>
          <w:tcPr>
            <w:tcW w:w="4082" w:type="dxa"/>
            <w:vAlign w:val="center"/>
          </w:tcPr>
          <w:p w14:paraId="6D7C7B77" w14:textId="54EAA60D" w:rsidR="00832EDC" w:rsidRDefault="00832EDC" w:rsidP="00832EDC">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5B997D2A" w14:textId="714C17CC" w:rsidR="00832EDC" w:rsidRPr="00944CE8" w:rsidRDefault="00832EDC" w:rsidP="00832EDC">
            <w:pPr>
              <w:pStyle w:val="BodyText"/>
              <w:jc w:val="left"/>
            </w:pPr>
            <w:r w:rsidRPr="00832EDC">
              <w:t>The observer identifies the flash character of the signal once again, to verify</w:t>
            </w:r>
          </w:p>
        </w:tc>
        <w:tc>
          <w:tcPr>
            <w:tcW w:w="1077" w:type="dxa"/>
            <w:vAlign w:val="center"/>
          </w:tcPr>
          <w:p w14:paraId="2A6394B1" w14:textId="56BDC290" w:rsidR="00832EDC" w:rsidRDefault="00832EDC" w:rsidP="00832EDC">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494C1B5F" w14:textId="48DDE010" w:rsidR="00832EDC" w:rsidRDefault="00832EDC" w:rsidP="00832EDC">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07C2F9E3" w14:textId="77777777" w:rsidR="00832EDC" w:rsidRPr="00011CD2" w:rsidRDefault="00832EDC" w:rsidP="00832EDC">
            <w:pPr>
              <w:pStyle w:val="BodyText"/>
              <w:jc w:val="left"/>
              <w:rPr>
                <w:rFonts w:asciiTheme="minorHAnsi" w:hAnsiTheme="minorHAnsi"/>
                <w:sz w:val="20"/>
                <w:szCs w:val="20"/>
              </w:rPr>
            </w:pPr>
          </w:p>
        </w:tc>
      </w:tr>
      <w:bookmarkEnd w:id="0"/>
      <w:tr w:rsidR="00832EDC" w:rsidRPr="00011CD2" w14:paraId="6F73309C" w14:textId="1EC59211" w:rsidTr="00015D90">
        <w:tc>
          <w:tcPr>
            <w:tcW w:w="1587" w:type="dxa"/>
            <w:vAlign w:val="center"/>
          </w:tcPr>
          <w:p w14:paraId="6F796E13" w14:textId="4B607C49" w:rsidR="00832EDC" w:rsidRPr="00011CD2" w:rsidRDefault="00832EDC" w:rsidP="00832EDC">
            <w:pPr>
              <w:pStyle w:val="BodyText"/>
              <w:jc w:val="left"/>
              <w:rPr>
                <w:rFonts w:asciiTheme="minorHAnsi" w:hAnsiTheme="minorHAnsi"/>
                <w:sz w:val="20"/>
                <w:szCs w:val="20"/>
              </w:rPr>
            </w:pPr>
            <w:r w:rsidRPr="00944CE8">
              <w:lastRenderedPageBreak/>
              <w:t>Background Luminance</w:t>
            </w:r>
          </w:p>
        </w:tc>
        <w:tc>
          <w:tcPr>
            <w:tcW w:w="1062" w:type="dxa"/>
            <w:vAlign w:val="center"/>
          </w:tcPr>
          <w:p w14:paraId="2080B7F4" w14:textId="74F8B17C" w:rsidR="00832EDC" w:rsidRPr="00011CD2" w:rsidRDefault="00832EDC" w:rsidP="00832EDC">
            <w:pPr>
              <w:pStyle w:val="BodyText"/>
              <w:jc w:val="left"/>
              <w:rPr>
                <w:rFonts w:asciiTheme="minorHAnsi" w:hAnsiTheme="minorHAnsi"/>
                <w:sz w:val="20"/>
                <w:szCs w:val="20"/>
              </w:rPr>
            </w:pPr>
          </w:p>
        </w:tc>
        <w:tc>
          <w:tcPr>
            <w:tcW w:w="992" w:type="dxa"/>
            <w:vAlign w:val="center"/>
          </w:tcPr>
          <w:p w14:paraId="43755221" w14:textId="77777777" w:rsidR="00832EDC" w:rsidRPr="00370553" w:rsidRDefault="00832EDC" w:rsidP="00832EDC">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051DD899" w14:textId="06DC942F"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650B0799" w14:textId="70BE8757" w:rsidR="00832EDC" w:rsidRPr="00011CD2" w:rsidRDefault="00832EDC" w:rsidP="00832EDC">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020484C2" w14:textId="03BDCA6D" w:rsidR="00832EDC" w:rsidRPr="00011CD2" w:rsidRDefault="00832EDC" w:rsidP="00832EDC">
            <w:pPr>
              <w:pStyle w:val="BodyText"/>
              <w:jc w:val="left"/>
              <w:rPr>
                <w:rFonts w:asciiTheme="minorHAnsi" w:hAnsiTheme="minorHAnsi"/>
                <w:sz w:val="20"/>
                <w:szCs w:val="20"/>
              </w:rPr>
            </w:pPr>
            <w:r w:rsidRPr="00944CE8">
              <w:t>A general area or large patch of light of roughly uniform brightness, directly behind an AtoN light, that impairs the mariner’s view of the AtoN light of interest</w:t>
            </w:r>
          </w:p>
        </w:tc>
        <w:tc>
          <w:tcPr>
            <w:tcW w:w="1077" w:type="dxa"/>
            <w:vAlign w:val="center"/>
          </w:tcPr>
          <w:p w14:paraId="7C25EC20" w14:textId="04B92673"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305D8AF2" w14:textId="6906783A"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1C814934" w14:textId="77777777" w:rsidR="00832EDC" w:rsidRPr="00011CD2" w:rsidRDefault="00832EDC" w:rsidP="00832EDC">
            <w:pPr>
              <w:pStyle w:val="BodyText"/>
              <w:jc w:val="left"/>
              <w:rPr>
                <w:rFonts w:asciiTheme="minorHAnsi" w:hAnsiTheme="minorHAnsi"/>
                <w:sz w:val="20"/>
                <w:szCs w:val="20"/>
              </w:rPr>
            </w:pPr>
          </w:p>
        </w:tc>
      </w:tr>
      <w:tr w:rsidR="00832EDC" w:rsidRPr="00011CD2" w14:paraId="0657DEB9" w14:textId="26E21E1E" w:rsidTr="00015D90">
        <w:tc>
          <w:tcPr>
            <w:tcW w:w="1587" w:type="dxa"/>
            <w:vAlign w:val="center"/>
          </w:tcPr>
          <w:p w14:paraId="0545A0B4" w14:textId="6C4CD375" w:rsidR="00832EDC" w:rsidRPr="00011CD2" w:rsidRDefault="00832EDC" w:rsidP="00832EDC">
            <w:pPr>
              <w:pStyle w:val="BodyText"/>
              <w:jc w:val="left"/>
              <w:rPr>
                <w:rFonts w:asciiTheme="minorHAnsi" w:hAnsiTheme="minorHAnsi"/>
                <w:sz w:val="20"/>
                <w:szCs w:val="20"/>
              </w:rPr>
            </w:pPr>
            <w:r w:rsidRPr="00944CE8">
              <w:t>Rival light</w:t>
            </w:r>
          </w:p>
        </w:tc>
        <w:tc>
          <w:tcPr>
            <w:tcW w:w="1062" w:type="dxa"/>
            <w:vAlign w:val="center"/>
          </w:tcPr>
          <w:p w14:paraId="5B32DCD3" w14:textId="600EFCA9" w:rsidR="00832EDC" w:rsidRPr="00011CD2" w:rsidRDefault="00832EDC" w:rsidP="00832EDC">
            <w:pPr>
              <w:pStyle w:val="BodyText"/>
              <w:jc w:val="left"/>
              <w:rPr>
                <w:rFonts w:asciiTheme="minorHAnsi" w:hAnsiTheme="minorHAnsi"/>
                <w:sz w:val="20"/>
                <w:szCs w:val="20"/>
              </w:rPr>
            </w:pPr>
          </w:p>
        </w:tc>
        <w:tc>
          <w:tcPr>
            <w:tcW w:w="992" w:type="dxa"/>
            <w:vAlign w:val="center"/>
          </w:tcPr>
          <w:p w14:paraId="72B6E447" w14:textId="77777777" w:rsidR="00832EDC" w:rsidRPr="00370553" w:rsidRDefault="00832EDC" w:rsidP="00832EDC">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494E76C6" w14:textId="6D606AA8"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622F67E3" w14:textId="1333815D" w:rsidR="00832EDC" w:rsidRPr="00011CD2" w:rsidRDefault="00832EDC" w:rsidP="00832EDC">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112613A4" w14:textId="39FFC24D" w:rsidR="00832EDC" w:rsidRPr="00011CD2" w:rsidRDefault="00832EDC" w:rsidP="00832EDC">
            <w:pPr>
              <w:pStyle w:val="BodyText"/>
              <w:jc w:val="left"/>
              <w:rPr>
                <w:rFonts w:asciiTheme="minorHAnsi" w:hAnsiTheme="minorHAnsi"/>
                <w:sz w:val="20"/>
                <w:szCs w:val="20"/>
              </w:rPr>
            </w:pPr>
            <w:r w:rsidRPr="00944CE8">
              <w:t>Rival lights can be considered as individual point sources of light that mask or obscure an AtoN light and prevent easy detection or recognition of the AtoN</w:t>
            </w:r>
          </w:p>
        </w:tc>
        <w:tc>
          <w:tcPr>
            <w:tcW w:w="1077" w:type="dxa"/>
            <w:vAlign w:val="center"/>
          </w:tcPr>
          <w:p w14:paraId="63CE1389" w14:textId="1A0244DF"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4526DAD6" w14:textId="3DCDC7FC"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4BAA30A7" w14:textId="77777777" w:rsidR="00832EDC" w:rsidRPr="00011CD2" w:rsidRDefault="00832EDC" w:rsidP="00832EDC">
            <w:pPr>
              <w:pStyle w:val="BodyText"/>
              <w:jc w:val="left"/>
              <w:rPr>
                <w:rFonts w:asciiTheme="minorHAnsi" w:hAnsiTheme="minorHAnsi"/>
                <w:sz w:val="20"/>
                <w:szCs w:val="20"/>
              </w:rPr>
            </w:pPr>
          </w:p>
        </w:tc>
      </w:tr>
      <w:tr w:rsidR="00832EDC" w:rsidRPr="00011CD2" w14:paraId="568D6B96" w14:textId="5B1942A5" w:rsidTr="00015D90">
        <w:tc>
          <w:tcPr>
            <w:tcW w:w="1587" w:type="dxa"/>
            <w:vAlign w:val="center"/>
          </w:tcPr>
          <w:p w14:paraId="2002E937" w14:textId="28F87667" w:rsidR="00832EDC" w:rsidRPr="00011CD2" w:rsidRDefault="00832EDC" w:rsidP="00832EDC">
            <w:pPr>
              <w:pStyle w:val="BodyText"/>
              <w:jc w:val="left"/>
              <w:rPr>
                <w:rFonts w:asciiTheme="minorHAnsi" w:hAnsiTheme="minorHAnsi"/>
                <w:sz w:val="20"/>
                <w:szCs w:val="20"/>
              </w:rPr>
            </w:pPr>
            <w:r w:rsidRPr="00944CE8">
              <w:t>Background Lighting</w:t>
            </w:r>
          </w:p>
        </w:tc>
        <w:tc>
          <w:tcPr>
            <w:tcW w:w="1062" w:type="dxa"/>
            <w:vAlign w:val="center"/>
          </w:tcPr>
          <w:p w14:paraId="2AB9B2C8" w14:textId="790DFC69" w:rsidR="00832EDC" w:rsidRPr="00011CD2" w:rsidRDefault="00832EDC" w:rsidP="00832EDC">
            <w:pPr>
              <w:pStyle w:val="BodyText"/>
              <w:jc w:val="left"/>
              <w:rPr>
                <w:rFonts w:asciiTheme="minorHAnsi" w:hAnsiTheme="minorHAnsi"/>
                <w:sz w:val="20"/>
                <w:szCs w:val="20"/>
              </w:rPr>
            </w:pPr>
          </w:p>
        </w:tc>
        <w:tc>
          <w:tcPr>
            <w:tcW w:w="992" w:type="dxa"/>
            <w:vAlign w:val="center"/>
          </w:tcPr>
          <w:p w14:paraId="55355140" w14:textId="77777777" w:rsidR="00832EDC" w:rsidRPr="00370553" w:rsidRDefault="00832EDC" w:rsidP="00832EDC">
            <w:pPr>
              <w:pStyle w:val="BodyText"/>
              <w:rPr>
                <w:rFonts w:asciiTheme="minorHAnsi" w:hAnsiTheme="minorHAnsi"/>
                <w:sz w:val="20"/>
                <w:szCs w:val="20"/>
              </w:rPr>
            </w:pPr>
            <w:r>
              <w:rPr>
                <w:rFonts w:asciiTheme="minorHAnsi" w:hAnsiTheme="minorHAnsi"/>
                <w:sz w:val="20"/>
                <w:szCs w:val="20"/>
              </w:rPr>
              <w:t xml:space="preserve">Guideline </w:t>
            </w:r>
            <w:r w:rsidRPr="00370553">
              <w:rPr>
                <w:rFonts w:asciiTheme="minorHAnsi" w:hAnsiTheme="minorHAnsi"/>
                <w:sz w:val="20"/>
                <w:szCs w:val="20"/>
              </w:rPr>
              <w:t>1073</w:t>
            </w:r>
          </w:p>
          <w:p w14:paraId="310C674B" w14:textId="797AD94A"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ENG7</w:t>
            </w:r>
          </w:p>
        </w:tc>
        <w:tc>
          <w:tcPr>
            <w:tcW w:w="4082" w:type="dxa"/>
            <w:vAlign w:val="center"/>
          </w:tcPr>
          <w:p w14:paraId="43E36A68" w14:textId="402902EC" w:rsidR="00832EDC" w:rsidRPr="00011CD2" w:rsidRDefault="00832EDC" w:rsidP="00832EDC">
            <w:pPr>
              <w:pStyle w:val="BodyText"/>
              <w:jc w:val="center"/>
              <w:rPr>
                <w:rFonts w:asciiTheme="minorHAnsi" w:hAnsiTheme="minorHAnsi"/>
                <w:sz w:val="20"/>
                <w:szCs w:val="20"/>
              </w:rPr>
            </w:pPr>
            <w:r>
              <w:rPr>
                <w:rFonts w:asciiTheme="minorHAnsi" w:hAnsiTheme="minorHAnsi"/>
                <w:sz w:val="20"/>
                <w:szCs w:val="20"/>
              </w:rPr>
              <w:t>n/a</w:t>
            </w:r>
          </w:p>
        </w:tc>
        <w:tc>
          <w:tcPr>
            <w:tcW w:w="4082" w:type="dxa"/>
            <w:vAlign w:val="center"/>
          </w:tcPr>
          <w:p w14:paraId="40B62B45" w14:textId="28993458" w:rsidR="00832EDC" w:rsidRPr="00011CD2" w:rsidRDefault="00832EDC" w:rsidP="00832EDC">
            <w:pPr>
              <w:pStyle w:val="BodyText"/>
              <w:jc w:val="left"/>
              <w:rPr>
                <w:rFonts w:asciiTheme="minorHAnsi" w:hAnsiTheme="minorHAnsi"/>
                <w:sz w:val="20"/>
                <w:szCs w:val="20"/>
              </w:rPr>
            </w:pPr>
            <w:r w:rsidRPr="00944CE8">
              <w:t>Encompasses ambient lighting either directly behind or adjacent to the AtoN having regard to the range of perspectives or directions of intended viewing</w:t>
            </w:r>
          </w:p>
        </w:tc>
        <w:tc>
          <w:tcPr>
            <w:tcW w:w="1077" w:type="dxa"/>
            <w:vAlign w:val="center"/>
          </w:tcPr>
          <w:p w14:paraId="77FF38B2" w14:textId="520603D4"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New term</w:t>
            </w:r>
          </w:p>
        </w:tc>
        <w:tc>
          <w:tcPr>
            <w:tcW w:w="1072" w:type="dxa"/>
            <w:vAlign w:val="center"/>
          </w:tcPr>
          <w:p w14:paraId="460EABB2" w14:textId="43024389" w:rsidR="00832EDC" w:rsidRPr="00011CD2" w:rsidRDefault="00832EDC" w:rsidP="00832EDC">
            <w:pPr>
              <w:pStyle w:val="BodyText"/>
              <w:jc w:val="left"/>
              <w:rPr>
                <w:rFonts w:asciiTheme="minorHAnsi" w:hAnsiTheme="minorHAnsi"/>
                <w:sz w:val="20"/>
                <w:szCs w:val="20"/>
              </w:rPr>
            </w:pPr>
            <w:r>
              <w:rPr>
                <w:rFonts w:asciiTheme="minorHAnsi" w:hAnsiTheme="minorHAnsi"/>
                <w:sz w:val="20"/>
                <w:szCs w:val="20"/>
              </w:rPr>
              <w:t>2017-10-13</w:t>
            </w:r>
          </w:p>
        </w:tc>
        <w:tc>
          <w:tcPr>
            <w:tcW w:w="1072" w:type="dxa"/>
          </w:tcPr>
          <w:p w14:paraId="731E94D2" w14:textId="77777777" w:rsidR="00832EDC" w:rsidRPr="00011CD2" w:rsidRDefault="00832EDC" w:rsidP="00832EDC">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8"/>
      <w:foot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AA400" w14:textId="77777777" w:rsidR="00FA6AB2" w:rsidRDefault="00FA6AB2" w:rsidP="00362CD9">
      <w:r>
        <w:separator/>
      </w:r>
    </w:p>
  </w:endnote>
  <w:endnote w:type="continuationSeparator" w:id="0">
    <w:p w14:paraId="30A85840" w14:textId="77777777" w:rsidR="00FA6AB2" w:rsidRDefault="00FA6AB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29FB3FA"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0A5A0A">
      <w:rPr>
        <w:rFonts w:ascii="Calibri" w:hAnsi="Calibri"/>
        <w:sz w:val="18"/>
        <w:szCs w:val="18"/>
      </w:rPr>
      <w:t xml:space="preserve"> amended</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0A5A0A">
      <w:rPr>
        <w:rFonts w:ascii="Calibri" w:hAnsi="Calibri"/>
        <w:sz w:val="18"/>
        <w:szCs w:val="18"/>
      </w:rPr>
      <w:t>1 March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1EB95" w14:textId="77777777" w:rsidR="00FA6AB2" w:rsidRDefault="00FA6AB2" w:rsidP="00362CD9">
      <w:r>
        <w:separator/>
      </w:r>
    </w:p>
  </w:footnote>
  <w:footnote w:type="continuationSeparator" w:id="0">
    <w:p w14:paraId="338C6496" w14:textId="77777777" w:rsidR="00FA6AB2" w:rsidRDefault="00FA6AB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en-IE" w:eastAsia="en-IE"/>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3F88A766"/>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15D90"/>
    <w:rsid w:val="00037DF4"/>
    <w:rsid w:val="0004700E"/>
    <w:rsid w:val="00070C13"/>
    <w:rsid w:val="00084F33"/>
    <w:rsid w:val="000A2A25"/>
    <w:rsid w:val="000A5A0A"/>
    <w:rsid w:val="000A77A7"/>
    <w:rsid w:val="000B1707"/>
    <w:rsid w:val="000C1B3E"/>
    <w:rsid w:val="00110AE7"/>
    <w:rsid w:val="0013358B"/>
    <w:rsid w:val="00177F4D"/>
    <w:rsid w:val="00180DDA"/>
    <w:rsid w:val="001877A1"/>
    <w:rsid w:val="00197CE4"/>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0553"/>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6C72"/>
    <w:rsid w:val="00597FAE"/>
    <w:rsid w:val="005A03B9"/>
    <w:rsid w:val="005A594B"/>
    <w:rsid w:val="005B32A3"/>
    <w:rsid w:val="005C0D44"/>
    <w:rsid w:val="005C566C"/>
    <w:rsid w:val="005C7E69"/>
    <w:rsid w:val="005E262D"/>
    <w:rsid w:val="005E70B0"/>
    <w:rsid w:val="005F23D3"/>
    <w:rsid w:val="005F7E20"/>
    <w:rsid w:val="006073CB"/>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32EDC"/>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4A94"/>
    <w:rsid w:val="00AE1319"/>
    <w:rsid w:val="00AE34BB"/>
    <w:rsid w:val="00B226F2"/>
    <w:rsid w:val="00B274DF"/>
    <w:rsid w:val="00B319E4"/>
    <w:rsid w:val="00B56BDF"/>
    <w:rsid w:val="00B65812"/>
    <w:rsid w:val="00B737CB"/>
    <w:rsid w:val="00B85CD6"/>
    <w:rsid w:val="00B90A27"/>
    <w:rsid w:val="00B9554D"/>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6F6F"/>
    <w:rsid w:val="00F60608"/>
    <w:rsid w:val="00F62217"/>
    <w:rsid w:val="00F8036A"/>
    <w:rsid w:val="00FA6AB2"/>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5CA0F1D7-520C-4D2A-8C40-F21FF44F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A5A0A"/>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A5A0A"/>
    <w:rPr>
      <w:rFonts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F559B-21A5-4259-8E06-CF2FE815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Seamus Doyle</cp:lastModifiedBy>
  <cp:revision>2</cp:revision>
  <dcterms:created xsi:type="dcterms:W3CDTF">2017-10-14T08:55:00Z</dcterms:created>
  <dcterms:modified xsi:type="dcterms:W3CDTF">2017-10-14T08:55:00Z</dcterms:modified>
</cp:coreProperties>
</file>